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F8" w:rsidRPr="00377102" w:rsidRDefault="00916FF8">
      <w:pPr>
        <w:jc w:val="right"/>
        <w:rPr>
          <w:rFonts w:cs="Miriam"/>
          <w:b/>
          <w:bCs/>
          <w:sz w:val="16"/>
          <w:szCs w:val="16"/>
          <w:u w:val="single"/>
        </w:rPr>
      </w:pPr>
    </w:p>
    <w:p w:rsidR="00916FF8" w:rsidRPr="00377102" w:rsidRDefault="00916FF8">
      <w:pPr>
        <w:jc w:val="right"/>
        <w:rPr>
          <w:rFonts w:cs="Miriam"/>
          <w:b/>
          <w:bCs/>
          <w:sz w:val="16"/>
          <w:szCs w:val="16"/>
          <w:u w:val="single"/>
        </w:rPr>
      </w:pPr>
    </w:p>
    <w:tbl>
      <w:tblPr>
        <w:bidiVisual/>
        <w:tblW w:w="8363" w:type="dxa"/>
        <w:tblInd w:w="9" w:type="dxa"/>
        <w:tblLook w:val="0000" w:firstRow="0" w:lastRow="0" w:firstColumn="0" w:lastColumn="0" w:noHBand="0" w:noVBand="0"/>
      </w:tblPr>
      <w:tblGrid>
        <w:gridCol w:w="8363"/>
      </w:tblGrid>
      <w:tr w:rsidR="00036227" w:rsidTr="0039709B">
        <w:tc>
          <w:tcPr>
            <w:tcW w:w="7848" w:type="dxa"/>
          </w:tcPr>
          <w:p w:rsidR="00916FF8" w:rsidRPr="00624A42" w:rsidRDefault="00F2721D" w:rsidP="004C7868">
            <w:pPr>
              <w:pStyle w:val="FileNumber0"/>
              <w:rPr>
                <w:sz w:val="28"/>
                <w:u w:val="single"/>
                <w:rtl/>
              </w:rPr>
            </w:pPr>
            <w:r>
              <w:rPr>
                <w:u w:val="single"/>
                <w:rtl/>
              </w:rPr>
              <w:t>בבית המשפט העליון</w:t>
            </w:r>
          </w:p>
        </w:tc>
      </w:tr>
    </w:tbl>
    <w:p w:rsidR="00916FF8" w:rsidRDefault="00916FF8">
      <w:pPr>
        <w:jc w:val="right"/>
        <w:rPr>
          <w:rFonts w:cs="Miriam"/>
          <w:b/>
          <w:bCs/>
          <w:u w:val="single"/>
        </w:rPr>
      </w:pPr>
    </w:p>
    <w:tbl>
      <w:tblPr>
        <w:bidiVisual/>
        <w:tblW w:w="8363" w:type="dxa"/>
        <w:tblLook w:val="0000" w:firstRow="0" w:lastRow="0" w:firstColumn="0" w:lastColumn="0" w:noHBand="0" w:noVBand="0"/>
      </w:tblPr>
      <w:tblGrid>
        <w:gridCol w:w="8363"/>
      </w:tblGrid>
      <w:tr w:rsidR="00036227" w:rsidTr="0039709B">
        <w:trPr>
          <w:trHeight w:val="342"/>
        </w:trPr>
        <w:tc>
          <w:tcPr>
            <w:tcW w:w="9828" w:type="dxa"/>
          </w:tcPr>
          <w:p w:rsidR="00916FF8" w:rsidRPr="00810894" w:rsidRDefault="00F2721D">
            <w:pPr>
              <w:pStyle w:val="FileNumber"/>
              <w:rPr>
                <w:sz w:val="28"/>
                <w:szCs w:val="28"/>
              </w:rPr>
            </w:pPr>
            <w:bookmarkStart w:id="0" w:name="casename_body"/>
            <w:r>
              <w:rPr>
                <w:sz w:val="28"/>
                <w:szCs w:val="28"/>
                <w:rtl/>
              </w:rPr>
              <w:t>בש"א  2972/21</w:t>
            </w:r>
          </w:p>
        </w:tc>
      </w:tr>
      <w:bookmarkEnd w:id="0"/>
    </w:tbl>
    <w:p w:rsidR="00916FF8" w:rsidRDefault="00916FF8">
      <w:pPr>
        <w:jc w:val="right"/>
        <w:rPr>
          <w:rFonts w:cs="Miriam"/>
          <w:b/>
          <w:bCs/>
          <w:u w:val="single"/>
        </w:rPr>
      </w:pPr>
    </w:p>
    <w:tbl>
      <w:tblPr>
        <w:bidiVisual/>
        <w:tblW w:w="8364" w:type="dxa"/>
        <w:tblLayout w:type="fixed"/>
        <w:tblLook w:val="0000" w:firstRow="0" w:lastRow="0" w:firstColumn="0" w:lastColumn="0" w:noHBand="0" w:noVBand="0"/>
      </w:tblPr>
      <w:tblGrid>
        <w:gridCol w:w="3210"/>
        <w:gridCol w:w="5154"/>
      </w:tblGrid>
      <w:tr w:rsidR="00036227" w:rsidTr="00EC23AC">
        <w:trPr>
          <w:trHeight w:val="287"/>
        </w:trPr>
        <w:tc>
          <w:tcPr>
            <w:tcW w:w="3261" w:type="dxa"/>
          </w:tcPr>
          <w:p w:rsidR="00036227" w:rsidRDefault="00CB7600">
            <w:pPr>
              <w:pStyle w:val="BodyRuller"/>
              <w:rPr>
                <w:rFonts w:cs="Miriam"/>
                <w:b/>
                <w:bCs/>
                <w:u w:val="single"/>
              </w:rPr>
            </w:pPr>
            <w:r>
              <w:rPr>
                <w:rFonts w:hint="cs"/>
                <w:rtl/>
              </w:rPr>
              <w:t>ל</w:t>
            </w:r>
            <w:r w:rsidR="00036227">
              <w:rPr>
                <w:rtl/>
              </w:rPr>
              <w:t>פני:</w:t>
            </w:r>
            <w:r w:rsidR="00036227">
              <w:rPr>
                <w:rtl/>
              </w:rPr>
              <w:tab/>
            </w:r>
          </w:p>
        </w:tc>
        <w:tc>
          <w:tcPr>
            <w:tcW w:w="5239" w:type="dxa"/>
          </w:tcPr>
          <w:p w:rsidR="00036227" w:rsidRDefault="00F2721D">
            <w:pPr>
              <w:pStyle w:val="BodyRuller"/>
            </w:pPr>
            <w:r>
              <w:rPr>
                <w:rtl/>
              </w:rPr>
              <w:t>כבוד השופט א' שטיין</w:t>
            </w:r>
          </w:p>
        </w:tc>
      </w:tr>
    </w:tbl>
    <w:p w:rsidR="00916FF8" w:rsidRDefault="00916FF8">
      <w:pPr>
        <w:pStyle w:val="Ruller3"/>
        <w:rPr>
          <w:rFonts w:cs="Miriam"/>
          <w:b/>
          <w:bCs/>
          <w:u w:val="single"/>
          <w:rtl/>
        </w:rPr>
      </w:pPr>
    </w:p>
    <w:tbl>
      <w:tblPr>
        <w:bidiVisual/>
        <w:tblW w:w="8364" w:type="dxa"/>
        <w:tblLayout w:type="fixed"/>
        <w:tblLook w:val="0000" w:firstRow="0" w:lastRow="0" w:firstColumn="0" w:lastColumn="0" w:noHBand="0" w:noVBand="0"/>
      </w:tblPr>
      <w:tblGrid>
        <w:gridCol w:w="3210"/>
        <w:gridCol w:w="5154"/>
      </w:tblGrid>
      <w:tr w:rsidR="00D00CB7" w:rsidTr="00DD6306">
        <w:trPr>
          <w:trHeight w:val="287"/>
        </w:trPr>
        <w:tc>
          <w:tcPr>
            <w:tcW w:w="3261" w:type="dxa"/>
          </w:tcPr>
          <w:p w:rsidR="00D00CB7" w:rsidRPr="00E75223" w:rsidRDefault="00F2721D" w:rsidP="00DD6306">
            <w:pPr>
              <w:pStyle w:val="BodyRuller"/>
              <w:rPr>
                <w:rFonts w:ascii="David" w:hAnsi="David"/>
              </w:rPr>
            </w:pPr>
            <w:r>
              <w:rPr>
                <w:rFonts w:ascii="David" w:hAnsi="David"/>
                <w:rtl/>
              </w:rPr>
              <w:t>המבקשים:</w:t>
            </w:r>
          </w:p>
        </w:tc>
        <w:tc>
          <w:tcPr>
            <w:tcW w:w="5239" w:type="dxa"/>
          </w:tcPr>
          <w:p w:rsidR="00D00CB7" w:rsidRDefault="00F2721D" w:rsidP="00DD6306">
            <w:pPr>
              <w:pStyle w:val="BodyRuller"/>
            </w:pPr>
            <w:r>
              <w:rPr>
                <w:rtl/>
              </w:rPr>
              <w:t>1. ת.ע. תמיר אירועים בע"מ</w:t>
            </w:r>
          </w:p>
        </w:tc>
      </w:tr>
      <w:tr w:rsidR="00F2721D" w:rsidTr="00DD6306">
        <w:trPr>
          <w:trHeight w:val="287"/>
        </w:trPr>
        <w:tc>
          <w:tcPr>
            <w:tcW w:w="3261" w:type="dxa"/>
          </w:tcPr>
          <w:p w:rsidR="00F2721D" w:rsidRDefault="00F2721D" w:rsidP="00DD6306">
            <w:pPr>
              <w:pStyle w:val="BodyRuller"/>
              <w:rPr>
                <w:rFonts w:ascii="David" w:hAnsi="David"/>
                <w:rtl/>
              </w:rPr>
            </w:pPr>
          </w:p>
        </w:tc>
        <w:tc>
          <w:tcPr>
            <w:tcW w:w="5239" w:type="dxa"/>
          </w:tcPr>
          <w:p w:rsidR="00F2721D" w:rsidRDefault="00F2721D" w:rsidP="00DD6306">
            <w:pPr>
              <w:pStyle w:val="BodyRuller"/>
              <w:rPr>
                <w:rtl/>
              </w:rPr>
            </w:pPr>
            <w:r>
              <w:rPr>
                <w:rtl/>
              </w:rPr>
              <w:t>2. עודד תמיר</w:t>
            </w:r>
          </w:p>
        </w:tc>
      </w:tr>
    </w:tbl>
    <w:p w:rsidR="00D00CB7" w:rsidRDefault="00D00CB7">
      <w:pPr>
        <w:pStyle w:val="Ruller3"/>
      </w:pPr>
    </w:p>
    <w:tbl>
      <w:tblPr>
        <w:bidiVisual/>
        <w:tblW w:w="8363" w:type="dxa"/>
        <w:tblLook w:val="0000" w:firstRow="0" w:lastRow="0" w:firstColumn="0" w:lastColumn="0" w:noHBand="0" w:noVBand="0"/>
      </w:tblPr>
      <w:tblGrid>
        <w:gridCol w:w="3222"/>
        <w:gridCol w:w="5141"/>
      </w:tblGrid>
      <w:tr w:rsidR="00036227" w:rsidTr="0039709B">
        <w:tc>
          <w:tcPr>
            <w:tcW w:w="3284" w:type="dxa"/>
          </w:tcPr>
          <w:p w:rsidR="00036227" w:rsidRDefault="00036227">
            <w:pPr>
              <w:pStyle w:val="BodyRuller"/>
            </w:pPr>
          </w:p>
        </w:tc>
        <w:tc>
          <w:tcPr>
            <w:tcW w:w="5238" w:type="dxa"/>
          </w:tcPr>
          <w:p w:rsidR="00036227" w:rsidRDefault="00036227">
            <w:pPr>
              <w:pStyle w:val="BodyRuller"/>
            </w:pPr>
            <w:r>
              <w:rPr>
                <w:rFonts w:hint="cs"/>
                <w:rtl/>
              </w:rPr>
              <w:t>נ</w:t>
            </w:r>
            <w:r>
              <w:t xml:space="preserve">  </w:t>
            </w:r>
            <w:r>
              <w:rPr>
                <w:rFonts w:hint="cs"/>
                <w:rtl/>
              </w:rPr>
              <w:t>ג</w:t>
            </w:r>
            <w:r>
              <w:t xml:space="preserve">  </w:t>
            </w:r>
            <w:r>
              <w:rPr>
                <w:rFonts w:hint="cs"/>
                <w:rtl/>
              </w:rPr>
              <w:t>ד</w:t>
            </w:r>
          </w:p>
        </w:tc>
      </w:tr>
    </w:tbl>
    <w:p w:rsidR="00916FF8" w:rsidRDefault="00916FF8">
      <w:pPr>
        <w:pStyle w:val="Ruller3"/>
        <w:rPr>
          <w:rtl/>
        </w:rPr>
      </w:pPr>
    </w:p>
    <w:tbl>
      <w:tblPr>
        <w:bidiVisual/>
        <w:tblW w:w="8364" w:type="dxa"/>
        <w:tblLayout w:type="fixed"/>
        <w:tblLook w:val="0000" w:firstRow="0" w:lastRow="0" w:firstColumn="0" w:lastColumn="0" w:noHBand="0" w:noVBand="0"/>
      </w:tblPr>
      <w:tblGrid>
        <w:gridCol w:w="3210"/>
        <w:gridCol w:w="5154"/>
      </w:tblGrid>
      <w:tr w:rsidR="0083345F" w:rsidTr="00DD6306">
        <w:trPr>
          <w:trHeight w:val="287"/>
        </w:trPr>
        <w:tc>
          <w:tcPr>
            <w:tcW w:w="3261" w:type="dxa"/>
          </w:tcPr>
          <w:p w:rsidR="0083345F" w:rsidRPr="00E75223" w:rsidRDefault="00F2721D" w:rsidP="00DD6306">
            <w:pPr>
              <w:pStyle w:val="BodyRuller"/>
              <w:rPr>
                <w:rFonts w:ascii="David" w:hAnsi="David"/>
              </w:rPr>
            </w:pPr>
            <w:r>
              <w:rPr>
                <w:rFonts w:ascii="David" w:hAnsi="David"/>
                <w:rtl/>
              </w:rPr>
              <w:t>המשיב:</w:t>
            </w:r>
          </w:p>
        </w:tc>
        <w:tc>
          <w:tcPr>
            <w:tcW w:w="5239" w:type="dxa"/>
          </w:tcPr>
          <w:p w:rsidR="0083345F" w:rsidRDefault="00F2721D" w:rsidP="00DD6306">
            <w:pPr>
              <w:pStyle w:val="BodyRuller"/>
            </w:pPr>
            <w:r>
              <w:rPr>
                <w:rtl/>
              </w:rPr>
              <w:t>עבדאללה בחאש</w:t>
            </w:r>
          </w:p>
        </w:tc>
      </w:tr>
    </w:tbl>
    <w:p w:rsidR="0083345F" w:rsidRDefault="0083345F">
      <w:pPr>
        <w:pStyle w:val="Ruller3"/>
      </w:pPr>
    </w:p>
    <w:tbl>
      <w:tblPr>
        <w:bidiVisual/>
        <w:tblW w:w="0" w:type="auto"/>
        <w:tblInd w:w="3209" w:type="dxa"/>
        <w:tblLook w:val="0000" w:firstRow="0" w:lastRow="0" w:firstColumn="0" w:lastColumn="0" w:noHBand="0" w:noVBand="0"/>
      </w:tblPr>
      <w:tblGrid>
        <w:gridCol w:w="5103"/>
      </w:tblGrid>
      <w:tr w:rsidR="00036227" w:rsidTr="00CA1444">
        <w:tc>
          <w:tcPr>
            <w:tcW w:w="5103" w:type="dxa"/>
          </w:tcPr>
          <w:p w:rsidR="00916FF8" w:rsidRPr="00265F6E" w:rsidRDefault="00843D1F">
            <w:pPr>
              <w:pStyle w:val="BodyRull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בקשה לאיחוד דיון</w:t>
            </w:r>
          </w:p>
        </w:tc>
      </w:tr>
    </w:tbl>
    <w:p w:rsidR="00916FF8" w:rsidRDefault="00916FF8">
      <w:pPr>
        <w:pStyle w:val="Ruller3"/>
        <w:rPr>
          <w:rtl/>
        </w:rPr>
      </w:pPr>
    </w:p>
    <w:tbl>
      <w:tblPr>
        <w:bidiVisual/>
        <w:tblW w:w="8364" w:type="dxa"/>
        <w:tblLayout w:type="fixed"/>
        <w:tblLook w:val="0000" w:firstRow="0" w:lastRow="0" w:firstColumn="0" w:lastColumn="0" w:noHBand="0" w:noVBand="0"/>
      </w:tblPr>
      <w:tblGrid>
        <w:gridCol w:w="3210"/>
        <w:gridCol w:w="5154"/>
      </w:tblGrid>
      <w:tr w:rsidR="00843D1F" w:rsidTr="009D6C38">
        <w:trPr>
          <w:trHeight w:val="287"/>
        </w:trPr>
        <w:tc>
          <w:tcPr>
            <w:tcW w:w="3261" w:type="dxa"/>
          </w:tcPr>
          <w:p w:rsidR="00843D1F" w:rsidRPr="00E75223" w:rsidRDefault="00843D1F" w:rsidP="009D6C38">
            <w:pPr>
              <w:pStyle w:val="BodyRuller"/>
              <w:rPr>
                <w:rFonts w:ascii="David" w:hAnsi="David"/>
              </w:rPr>
            </w:pPr>
            <w:r>
              <w:rPr>
                <w:rFonts w:ascii="David" w:hAnsi="David" w:hint="cs"/>
                <w:rtl/>
              </w:rPr>
              <w:t xml:space="preserve">בשם </w:t>
            </w:r>
            <w:r>
              <w:rPr>
                <w:rFonts w:ascii="David" w:hAnsi="David"/>
                <w:rtl/>
              </w:rPr>
              <w:t>המבקשים:</w:t>
            </w:r>
          </w:p>
        </w:tc>
        <w:tc>
          <w:tcPr>
            <w:tcW w:w="5239" w:type="dxa"/>
          </w:tcPr>
          <w:p w:rsidR="00843D1F" w:rsidRDefault="00843D1F" w:rsidP="009D6C38">
            <w:pPr>
              <w:pStyle w:val="BodyRuller"/>
            </w:pPr>
            <w:r>
              <w:rPr>
                <w:rFonts w:hint="cs"/>
                <w:rtl/>
              </w:rPr>
              <w:t>עו"ד טלי פרידריך</w:t>
            </w:r>
          </w:p>
        </w:tc>
      </w:tr>
    </w:tbl>
    <w:p w:rsidR="00916FF8" w:rsidRPr="00843D1F" w:rsidRDefault="00916FF8">
      <w:pPr>
        <w:pStyle w:val="Ruller3"/>
      </w:pPr>
    </w:p>
    <w:tbl>
      <w:tblPr>
        <w:bidiVisual/>
        <w:tblW w:w="8363" w:type="dxa"/>
        <w:tblLook w:val="0000" w:firstRow="0" w:lastRow="0" w:firstColumn="0" w:lastColumn="0" w:noHBand="0" w:noVBand="0"/>
      </w:tblPr>
      <w:tblGrid>
        <w:gridCol w:w="8363"/>
      </w:tblGrid>
      <w:tr w:rsidR="00036227" w:rsidTr="00843D1F">
        <w:tc>
          <w:tcPr>
            <w:tcW w:w="8363" w:type="dxa"/>
          </w:tcPr>
          <w:p w:rsidR="00916FF8" w:rsidRDefault="00F2721D">
            <w:pPr>
              <w:pStyle w:val="DocumentHead"/>
            </w:pPr>
            <w:bookmarkStart w:id="1" w:name="secretary"/>
            <w:bookmarkStart w:id="2" w:name="BeginProtocol"/>
            <w:bookmarkEnd w:id="1"/>
            <w:bookmarkEnd w:id="2"/>
            <w:r>
              <w:rPr>
                <w:rtl/>
              </w:rPr>
              <w:t>החלטה</w:t>
            </w:r>
          </w:p>
        </w:tc>
      </w:tr>
    </w:tbl>
    <w:p w:rsidR="0065522F" w:rsidRDefault="0065522F">
      <w:pPr>
        <w:pStyle w:val="BODYVERDICT"/>
      </w:pPr>
    </w:p>
    <w:p w:rsidR="00843D1F" w:rsidRPr="00476277" w:rsidRDefault="00843D1F" w:rsidP="00843D1F">
      <w:pPr>
        <w:spacing w:line="360" w:lineRule="auto"/>
        <w:ind w:left="720"/>
        <w:jc w:val="both"/>
        <w:rPr>
          <w:rFonts w:ascii="Century" w:hAnsi="Century" w:cs="FrankRuehl"/>
          <w:spacing w:val="10"/>
          <w:sz w:val="22"/>
          <w:szCs w:val="28"/>
          <w:rtl/>
        </w:rPr>
      </w:pPr>
      <w:bookmarkStart w:id="3" w:name="Writer_Name"/>
      <w:bookmarkEnd w:id="3"/>
    </w:p>
    <w:p w:rsidR="00843D1F" w:rsidRPr="00D36529" w:rsidRDefault="00843D1F" w:rsidP="00843D1F">
      <w:pPr>
        <w:spacing w:line="360" w:lineRule="auto"/>
        <w:jc w:val="both"/>
        <w:rPr>
          <w:rFonts w:ascii="Century" w:hAnsi="Century" w:cs="FrankRuehl"/>
          <w:spacing w:val="10"/>
          <w:sz w:val="22"/>
          <w:szCs w:val="28"/>
          <w:rtl/>
        </w:rPr>
      </w:pPr>
      <w:r w:rsidRPr="00D36529">
        <w:rPr>
          <w:rFonts w:ascii="Century" w:hAnsi="Century" w:cs="FrankRuehl"/>
          <w:spacing w:val="10"/>
          <w:sz w:val="22"/>
          <w:szCs w:val="28"/>
          <w:rtl/>
        </w:rPr>
        <w:t>1</w:t>
      </w:r>
      <w:r w:rsidRPr="00D36529">
        <w:rPr>
          <w:rFonts w:ascii="Century" w:hAnsi="Century" w:cs="FrankRuehl"/>
          <w:spacing w:val="10"/>
          <w:sz w:val="22"/>
          <w:szCs w:val="28"/>
        </w:rPr>
        <w:t>.</w:t>
      </w:r>
      <w:r w:rsidRPr="00D36529">
        <w:rPr>
          <w:rFonts w:ascii="Century" w:hAnsi="Century" w:cs="FrankRuehl"/>
          <w:spacing w:val="10"/>
          <w:sz w:val="22"/>
          <w:szCs w:val="28"/>
        </w:rPr>
        <w:tab/>
      </w:r>
      <w:r w:rsidRPr="00D36529">
        <w:rPr>
          <w:rFonts w:ascii="Century" w:hAnsi="Century" w:cs="FrankRuehl" w:hint="cs"/>
          <w:spacing w:val="10"/>
          <w:sz w:val="22"/>
          <w:szCs w:val="28"/>
          <w:rtl/>
        </w:rPr>
        <w:t>לפניי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 בקשה </w:t>
      </w:r>
      <w:r w:rsidRPr="005675E2">
        <w:rPr>
          <w:rFonts w:ascii="Century" w:hAnsi="Century" w:cs="Miriam"/>
          <w:b/>
          <w:sz w:val="22"/>
          <w:rtl/>
        </w:rPr>
        <w:t>מוסכמת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 לפי תקנה </w:t>
      </w:r>
      <w:r>
        <w:rPr>
          <w:rFonts w:ascii="Century" w:hAnsi="Century" w:cs="FrankRuehl" w:hint="cs"/>
          <w:spacing w:val="10"/>
          <w:sz w:val="22"/>
          <w:szCs w:val="28"/>
          <w:rtl/>
        </w:rPr>
        <w:t>40(ב)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 לתקנות סדר הדין האזרחי, 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ה</w:t>
      </w:r>
      <w:r w:rsidRPr="007673F0">
        <w:rPr>
          <w:rFonts w:ascii="Century" w:hAnsi="Century" w:cs="FrankRuehl"/>
          <w:spacing w:val="10"/>
          <w:sz w:val="22"/>
          <w:szCs w:val="28"/>
          <w:rtl/>
        </w:rPr>
        <w:t>תשע"ט-</w:t>
      </w:r>
      <w:r>
        <w:rPr>
          <w:rFonts w:ascii="Century" w:hAnsi="Century" w:cs="FrankRuehl" w:hint="cs"/>
          <w:spacing w:val="10"/>
          <w:sz w:val="22"/>
          <w:szCs w:val="28"/>
          <w:rtl/>
        </w:rPr>
        <w:t>2018,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 לאיחוד הדיון ב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ת"א 36438-03-20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, המתנהל בבית משפט השלום 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נתניה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>, עם הדיון ב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ת"א 43640-03-20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, המתנהל בבית משפט השלום 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חדרה.</w:t>
      </w:r>
    </w:p>
    <w:p w:rsidR="00843D1F" w:rsidRPr="00D36529" w:rsidRDefault="00843D1F" w:rsidP="00843D1F">
      <w:pPr>
        <w:spacing w:line="360" w:lineRule="auto"/>
        <w:ind w:left="720"/>
        <w:jc w:val="both"/>
        <w:rPr>
          <w:rFonts w:ascii="Century" w:hAnsi="Century" w:cs="FrankRuehl"/>
          <w:spacing w:val="10"/>
          <w:sz w:val="22"/>
          <w:szCs w:val="28"/>
          <w:rtl/>
        </w:rPr>
      </w:pPr>
    </w:p>
    <w:p w:rsidR="00843D1F" w:rsidRPr="00D36529" w:rsidRDefault="00843D1F" w:rsidP="00843D1F">
      <w:pPr>
        <w:spacing w:line="360" w:lineRule="auto"/>
        <w:jc w:val="both"/>
        <w:rPr>
          <w:rFonts w:ascii="Century" w:hAnsi="Century" w:cs="FrankRuehl"/>
          <w:spacing w:val="10"/>
          <w:sz w:val="22"/>
          <w:szCs w:val="28"/>
          <w:rtl/>
        </w:rPr>
      </w:pPr>
      <w:r w:rsidRPr="00D36529">
        <w:rPr>
          <w:rFonts w:ascii="Century" w:hAnsi="Century" w:cs="FrankRuehl"/>
          <w:spacing w:val="10"/>
          <w:sz w:val="22"/>
          <w:szCs w:val="28"/>
          <w:rtl/>
        </w:rPr>
        <w:t>2</w:t>
      </w:r>
      <w:r w:rsidRPr="00D36529">
        <w:rPr>
          <w:rFonts w:ascii="Century" w:hAnsi="Century" w:cs="FrankRuehl"/>
          <w:spacing w:val="10"/>
          <w:sz w:val="22"/>
          <w:szCs w:val="28"/>
        </w:rPr>
        <w:t>.</w:t>
      </w:r>
      <w:r w:rsidRPr="00D36529">
        <w:rPr>
          <w:rFonts w:ascii="Century" w:hAnsi="Century" w:cs="FrankRuehl"/>
          <w:spacing w:val="10"/>
          <w:sz w:val="22"/>
          <w:szCs w:val="28"/>
        </w:rPr>
        <w:tab/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>כעולה מהבקשה ומנספחיה, שני ההליכים נסוב</w:t>
      </w:r>
      <w:r>
        <w:rPr>
          <w:rFonts w:ascii="Century" w:hAnsi="Century" w:cs="FrankRuehl" w:hint="cs"/>
          <w:spacing w:val="10"/>
          <w:sz w:val="22"/>
          <w:szCs w:val="28"/>
          <w:rtl/>
        </w:rPr>
        <w:t xml:space="preserve">ו 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על 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טענות זכות שונות אשר נובעות מאותו סכסוך חוזי</w:t>
      </w:r>
      <w:r>
        <w:rPr>
          <w:rFonts w:ascii="Century" w:hAnsi="Century" w:cs="FrankRuehl"/>
          <w:spacing w:val="10"/>
          <w:sz w:val="22"/>
          <w:szCs w:val="28"/>
          <w:rtl/>
        </w:rPr>
        <w:t>. נטען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 כי איחוד הדיון בתובענות, אשר מעוררות שאלות עובדתיות ומשפטיות זהות, יקדם </w:t>
      </w:r>
      <w:r w:rsidRPr="009B6AEA">
        <w:rPr>
          <w:rFonts w:ascii="FrankRuehl" w:hAnsi="FrankRuehl" w:cs="FrankRuehl"/>
          <w:spacing w:val="10"/>
          <w:sz w:val="28"/>
          <w:szCs w:val="28"/>
          <w:rtl/>
        </w:rPr>
        <w:t>י</w:t>
      </w:r>
      <w:r>
        <w:rPr>
          <w:rFonts w:ascii="FrankRuehl" w:hAnsi="FrankRuehl" w:cs="FrankRuehl"/>
          <w:spacing w:val="10"/>
          <w:sz w:val="28"/>
          <w:szCs w:val="28"/>
          <w:rtl/>
        </w:rPr>
        <w:t>עילות דיונית</w:t>
      </w:r>
      <w:r>
        <w:rPr>
          <w:rFonts w:ascii="FrankRuehl" w:hAnsi="FrankRuehl" w:cs="FrankRuehl" w:hint="cs"/>
          <w:spacing w:val="10"/>
          <w:sz w:val="28"/>
          <w:szCs w:val="28"/>
          <w:rtl/>
        </w:rPr>
        <w:t>, יפשט את ההליכים</w:t>
      </w:r>
      <w:r>
        <w:rPr>
          <w:rFonts w:ascii="FrankRuehl" w:hAnsi="FrankRuehl" w:cs="FrankRuehl"/>
          <w:spacing w:val="10"/>
          <w:sz w:val="28"/>
          <w:szCs w:val="28"/>
          <w:rtl/>
        </w:rPr>
        <w:t xml:space="preserve"> וימנע הכרעות סותרו</w:t>
      </w:r>
      <w:r>
        <w:rPr>
          <w:rFonts w:ascii="FrankRuehl" w:hAnsi="FrankRuehl" w:cs="FrankRuehl" w:hint="cs"/>
          <w:spacing w:val="10"/>
          <w:sz w:val="28"/>
          <w:szCs w:val="28"/>
          <w:rtl/>
        </w:rPr>
        <w:t>ת</w:t>
      </w:r>
      <w:r>
        <w:rPr>
          <w:rFonts w:ascii="Century" w:hAnsi="Century" w:cs="FrankRuehl" w:hint="cs"/>
          <w:spacing w:val="10"/>
          <w:sz w:val="22"/>
          <w:szCs w:val="28"/>
          <w:rtl/>
        </w:rPr>
        <w:t>.</w:t>
      </w:r>
    </w:p>
    <w:p w:rsidR="00843D1F" w:rsidRPr="00D36529" w:rsidRDefault="00843D1F" w:rsidP="00843D1F">
      <w:pPr>
        <w:spacing w:line="360" w:lineRule="auto"/>
        <w:ind w:left="720"/>
        <w:jc w:val="both"/>
        <w:rPr>
          <w:rFonts w:ascii="Century" w:hAnsi="Century" w:cs="FrankRuehl"/>
          <w:spacing w:val="10"/>
          <w:sz w:val="22"/>
          <w:szCs w:val="28"/>
          <w:rtl/>
        </w:rPr>
      </w:pPr>
    </w:p>
    <w:p w:rsidR="00843D1F" w:rsidRPr="00D36529" w:rsidRDefault="00843D1F" w:rsidP="00843D1F">
      <w:pPr>
        <w:spacing w:line="360" w:lineRule="auto"/>
        <w:jc w:val="both"/>
        <w:rPr>
          <w:rFonts w:ascii="Century" w:hAnsi="Century" w:cs="FrankRuehl"/>
          <w:spacing w:val="10"/>
          <w:sz w:val="22"/>
          <w:szCs w:val="28"/>
          <w:rtl/>
        </w:rPr>
      </w:pPr>
      <w:r w:rsidRPr="00D36529">
        <w:rPr>
          <w:rFonts w:ascii="Century" w:hAnsi="Century" w:cs="FrankRuehl"/>
          <w:spacing w:val="10"/>
          <w:sz w:val="22"/>
          <w:szCs w:val="28"/>
          <w:rtl/>
        </w:rPr>
        <w:t>3</w:t>
      </w:r>
      <w:r w:rsidRPr="00D36529">
        <w:rPr>
          <w:rFonts w:ascii="Century" w:hAnsi="Century" w:cs="FrankRuehl"/>
          <w:spacing w:val="10"/>
          <w:sz w:val="22"/>
          <w:szCs w:val="28"/>
        </w:rPr>
        <w:t>.</w:t>
      </w:r>
      <w:r w:rsidRPr="00D36529">
        <w:rPr>
          <w:rFonts w:ascii="Century" w:hAnsi="Century" w:cs="FrankRuehl"/>
          <w:spacing w:val="10"/>
          <w:sz w:val="22"/>
          <w:szCs w:val="28"/>
        </w:rPr>
        <w:tab/>
      </w:r>
      <w:r>
        <w:rPr>
          <w:rFonts w:ascii="Century" w:hAnsi="Century" w:cs="FrankRuehl"/>
          <w:spacing w:val="10"/>
          <w:sz w:val="22"/>
          <w:szCs w:val="28"/>
          <w:rtl/>
        </w:rPr>
        <w:t>המבקש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ים</w:t>
      </w:r>
      <w:r>
        <w:rPr>
          <w:rFonts w:ascii="Century" w:hAnsi="Century" w:cs="FrankRuehl"/>
          <w:spacing w:val="10"/>
          <w:sz w:val="22"/>
          <w:szCs w:val="28"/>
          <w:rtl/>
        </w:rPr>
        <w:t xml:space="preserve"> מבקש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ים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 שהתיקים יידונו במאוחד בבית משפט השלום 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חדרה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, </w:t>
      </w:r>
      <w:r w:rsidRPr="00D36529">
        <w:rPr>
          <w:rFonts w:ascii="Century" w:hAnsi="Century" w:cs="FrankRuehl" w:hint="cs"/>
          <w:spacing w:val="10"/>
          <w:sz w:val="22"/>
          <w:szCs w:val="28"/>
          <w:rtl/>
        </w:rPr>
        <w:t>ו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>המשיב מסכי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ם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 לכך</w:t>
      </w:r>
      <w:r>
        <w:rPr>
          <w:rFonts w:ascii="Century" w:hAnsi="Century" w:cs="FrankRuehl" w:hint="cs"/>
          <w:spacing w:val="10"/>
          <w:sz w:val="22"/>
          <w:szCs w:val="28"/>
          <w:rtl/>
        </w:rPr>
        <w:t>.</w:t>
      </w:r>
    </w:p>
    <w:p w:rsidR="00843D1F" w:rsidRPr="00D36529" w:rsidRDefault="00843D1F" w:rsidP="00843D1F">
      <w:pPr>
        <w:spacing w:line="360" w:lineRule="auto"/>
        <w:ind w:left="720"/>
        <w:jc w:val="both"/>
        <w:rPr>
          <w:rFonts w:ascii="Century" w:hAnsi="Century" w:cs="FrankRuehl"/>
          <w:spacing w:val="10"/>
          <w:sz w:val="22"/>
          <w:szCs w:val="28"/>
          <w:rtl/>
        </w:rPr>
      </w:pPr>
    </w:p>
    <w:p w:rsidR="00843D1F" w:rsidRPr="00D36529" w:rsidRDefault="00843D1F" w:rsidP="00843D1F">
      <w:pPr>
        <w:spacing w:line="360" w:lineRule="auto"/>
        <w:jc w:val="both"/>
        <w:rPr>
          <w:rFonts w:ascii="Century" w:hAnsi="Century" w:cs="FrankRuehl"/>
          <w:spacing w:val="10"/>
          <w:sz w:val="22"/>
          <w:szCs w:val="28"/>
          <w:rtl/>
        </w:rPr>
      </w:pPr>
      <w:r w:rsidRPr="00D36529">
        <w:rPr>
          <w:rFonts w:ascii="Century" w:hAnsi="Century" w:cs="FrankRuehl"/>
          <w:spacing w:val="10"/>
          <w:sz w:val="22"/>
          <w:szCs w:val="28"/>
          <w:rtl/>
        </w:rPr>
        <w:t>4</w:t>
      </w:r>
      <w:r w:rsidRPr="00D36529">
        <w:rPr>
          <w:rFonts w:ascii="Century" w:hAnsi="Century" w:cs="FrankRuehl"/>
          <w:spacing w:val="10"/>
          <w:sz w:val="22"/>
          <w:szCs w:val="28"/>
        </w:rPr>
        <w:t>.</w:t>
      </w:r>
      <w:r w:rsidRPr="00D36529">
        <w:rPr>
          <w:rFonts w:ascii="Century" w:hAnsi="Century" w:cs="FrankRuehl"/>
          <w:spacing w:val="10"/>
          <w:sz w:val="22"/>
          <w:szCs w:val="28"/>
        </w:rPr>
        <w:tab/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>דין הבקשה להתקבל מטעמיה וכן לאור הסכמת הצדדים, ובשים לב לשלב המוקדם שבו נמצא בירור התיקים הנ"ל</w:t>
      </w:r>
      <w:r>
        <w:rPr>
          <w:rFonts w:ascii="Century" w:hAnsi="Century" w:cs="FrankRuehl" w:hint="cs"/>
          <w:spacing w:val="10"/>
          <w:sz w:val="22"/>
          <w:szCs w:val="28"/>
          <w:rtl/>
        </w:rPr>
        <w:t>.</w:t>
      </w:r>
    </w:p>
    <w:p w:rsidR="00843D1F" w:rsidRPr="00D36529" w:rsidRDefault="00843D1F" w:rsidP="00843D1F">
      <w:pPr>
        <w:spacing w:line="360" w:lineRule="auto"/>
        <w:ind w:left="720"/>
        <w:jc w:val="both"/>
        <w:rPr>
          <w:rFonts w:ascii="Century" w:hAnsi="Century" w:cs="FrankRuehl"/>
          <w:spacing w:val="10"/>
          <w:sz w:val="22"/>
          <w:szCs w:val="28"/>
          <w:rtl/>
        </w:rPr>
      </w:pPr>
    </w:p>
    <w:p w:rsidR="00843D1F" w:rsidRPr="00476277" w:rsidRDefault="00843D1F" w:rsidP="00843D1F">
      <w:pPr>
        <w:spacing w:line="360" w:lineRule="auto"/>
        <w:jc w:val="both"/>
        <w:rPr>
          <w:rFonts w:ascii="Century" w:hAnsi="Century" w:cs="FrankRuehl"/>
          <w:spacing w:val="10"/>
          <w:sz w:val="22"/>
          <w:szCs w:val="28"/>
          <w:rtl/>
        </w:rPr>
      </w:pPr>
      <w:r>
        <w:rPr>
          <w:rFonts w:ascii="Century" w:hAnsi="Century" w:cs="FrankRuehl"/>
          <w:spacing w:val="10"/>
          <w:sz w:val="22"/>
          <w:szCs w:val="28"/>
          <w:rtl/>
        </w:rPr>
        <w:lastRenderedPageBreak/>
        <w:t>5.</w:t>
      </w:r>
      <w:r>
        <w:rPr>
          <w:rFonts w:ascii="Century" w:hAnsi="Century" w:cs="FrankRuehl"/>
          <w:spacing w:val="10"/>
          <w:sz w:val="22"/>
          <w:szCs w:val="28"/>
          <w:rtl/>
        </w:rPr>
        <w:tab/>
        <w:t xml:space="preserve">אשר על כן, 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>הדיון ב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ת"א 36438-03-20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 (שלום 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נתניה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 xml:space="preserve">) יועבר לבית משפט השלום </w:t>
      </w:r>
      <w:r>
        <w:rPr>
          <w:rFonts w:ascii="Century" w:hAnsi="Century" w:cs="FrankRuehl" w:hint="cs"/>
          <w:spacing w:val="10"/>
          <w:sz w:val="22"/>
          <w:szCs w:val="28"/>
          <w:rtl/>
        </w:rPr>
        <w:t xml:space="preserve">חדרה 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>ויאוחד שם עם הדיון ב</w:t>
      </w:r>
      <w:r>
        <w:rPr>
          <w:rFonts w:ascii="Century" w:hAnsi="Century" w:cs="FrankRuehl" w:hint="cs"/>
          <w:spacing w:val="10"/>
          <w:sz w:val="22"/>
          <w:szCs w:val="28"/>
          <w:rtl/>
        </w:rPr>
        <w:t>ת"א 43640-03-20</w:t>
      </w:r>
      <w:r w:rsidRPr="00D36529">
        <w:rPr>
          <w:rFonts w:ascii="Century" w:hAnsi="Century" w:cs="FrankRuehl"/>
          <w:spacing w:val="10"/>
          <w:sz w:val="22"/>
          <w:szCs w:val="28"/>
          <w:rtl/>
        </w:rPr>
        <w:t>.</w:t>
      </w:r>
    </w:p>
    <w:p w:rsidR="00843D1F" w:rsidRPr="0024615A" w:rsidRDefault="00843D1F" w:rsidP="00843D1F">
      <w:pPr>
        <w:pStyle w:val="Ruller4"/>
      </w:pPr>
    </w:p>
    <w:p w:rsidR="00916FF8" w:rsidRPr="00843D1F" w:rsidRDefault="00843D1F">
      <w:pPr>
        <w:pStyle w:val="BODYVERDICT"/>
        <w:rPr>
          <w:rFonts w:ascii="Century" w:hAnsi="Century"/>
          <w:rtl/>
        </w:rPr>
      </w:pPr>
      <w:r w:rsidRPr="00843D1F">
        <w:rPr>
          <w:rFonts w:ascii="Century" w:hAnsi="Century"/>
          <w:rtl/>
        </w:rPr>
        <w:tab/>
        <w:t xml:space="preserve">ניתנה היום, </w:t>
      </w:r>
      <w:r w:rsidRPr="00843D1F">
        <w:rPr>
          <w:rFonts w:ascii="Century" w:hAnsi="Century" w:hint="eastAsia"/>
          <w:rtl/>
        </w:rPr>
        <w:t>‏כ</w:t>
      </w:r>
      <w:r w:rsidRPr="00843D1F">
        <w:rPr>
          <w:rFonts w:ascii="Century" w:hAnsi="Century"/>
          <w:rtl/>
        </w:rPr>
        <w:t>' באייר התשפ"א (</w:t>
      </w:r>
      <w:r w:rsidRPr="00843D1F">
        <w:rPr>
          <w:rFonts w:ascii="Century" w:hAnsi="Century" w:hint="eastAsia"/>
          <w:rtl/>
        </w:rPr>
        <w:t>‏</w:t>
      </w:r>
      <w:r w:rsidRPr="00843D1F">
        <w:rPr>
          <w:rFonts w:ascii="Century" w:hAnsi="Century"/>
          <w:rtl/>
        </w:rPr>
        <w:t>2.5.2021).</w:t>
      </w:r>
    </w:p>
    <w:p w:rsidR="00843D1F" w:rsidRPr="00843D1F" w:rsidRDefault="00843D1F">
      <w:pPr>
        <w:pStyle w:val="BODYVERDICT"/>
        <w:rPr>
          <w:rFonts w:cs="Miriam"/>
          <w:sz w:val="24"/>
          <w:szCs w:val="24"/>
          <w:u w:val="single"/>
          <w:rtl/>
        </w:rPr>
      </w:pPr>
    </w:p>
    <w:p w:rsidR="000B1478" w:rsidRDefault="000B1478" w:rsidP="00A51FAE">
      <w:pPr>
        <w:pStyle w:val="Ruller4"/>
        <w:rPr>
          <w:rtl/>
        </w:rPr>
      </w:pPr>
      <w:bookmarkStart w:id="4" w:name="Start_Write"/>
      <w:bookmarkStart w:id="5" w:name="_GoBack"/>
      <w:bookmarkEnd w:id="4"/>
      <w:bookmarkEnd w:id="5"/>
    </w:p>
    <w:tbl>
      <w:tblPr>
        <w:bidiVisual/>
        <w:tblW w:w="8363" w:type="dxa"/>
        <w:tblLook w:val="01E0" w:firstRow="1" w:lastRow="1" w:firstColumn="1" w:lastColumn="1" w:noHBand="0" w:noVBand="0"/>
      </w:tblPr>
      <w:tblGrid>
        <w:gridCol w:w="2786"/>
        <w:gridCol w:w="2787"/>
        <w:gridCol w:w="2790"/>
      </w:tblGrid>
      <w:tr w:rsidR="001A0164" w:rsidTr="00843D1F">
        <w:tc>
          <w:tcPr>
            <w:tcW w:w="2786" w:type="dxa"/>
            <w:shd w:val="clear" w:color="auto" w:fill="auto"/>
          </w:tcPr>
          <w:p w:rsidR="00016EF1" w:rsidRDefault="00016EF1" w:rsidP="00A51FAE">
            <w:pPr>
              <w:pStyle w:val="Ruller4"/>
              <w:rPr>
                <w:rtl/>
              </w:rPr>
            </w:pPr>
          </w:p>
        </w:tc>
        <w:tc>
          <w:tcPr>
            <w:tcW w:w="2787" w:type="dxa"/>
            <w:shd w:val="clear" w:color="auto" w:fill="auto"/>
          </w:tcPr>
          <w:p w:rsidR="001A0164" w:rsidRDefault="001A0164" w:rsidP="00BA0B08">
            <w:pPr>
              <w:pStyle w:val="Ruller4"/>
              <w:jc w:val="center"/>
              <w:rPr>
                <w:rtl/>
              </w:rPr>
            </w:pPr>
          </w:p>
        </w:tc>
        <w:tc>
          <w:tcPr>
            <w:tcW w:w="2790" w:type="dxa"/>
            <w:shd w:val="clear" w:color="auto" w:fill="auto"/>
          </w:tcPr>
          <w:p w:rsidR="001A0164" w:rsidRDefault="00F2721D" w:rsidP="00843D1F">
            <w:pPr>
              <w:pStyle w:val="Ruller4"/>
              <w:jc w:val="right"/>
              <w:rPr>
                <w:rtl/>
              </w:rPr>
            </w:pPr>
            <w:r>
              <w:rPr>
                <w:rtl/>
              </w:rPr>
              <w:t>ש ו פ ט</w:t>
            </w:r>
          </w:p>
        </w:tc>
      </w:tr>
    </w:tbl>
    <w:p w:rsidR="00044953" w:rsidRDefault="00044953" w:rsidP="00A51FAE">
      <w:pPr>
        <w:pStyle w:val="Ruller4"/>
        <w:rPr>
          <w:rtl/>
        </w:rPr>
      </w:pPr>
    </w:p>
    <w:p w:rsidR="00916FF8" w:rsidRDefault="00916FF8">
      <w:pPr>
        <w:rPr>
          <w:szCs w:val="16"/>
          <w:rtl/>
        </w:rPr>
      </w:pPr>
      <w:r>
        <w:rPr>
          <w:szCs w:val="16"/>
          <w:rtl/>
        </w:rPr>
        <w:t>_________________</w:t>
      </w:r>
      <w:r w:rsidR="00A12E0F">
        <w:rPr>
          <w:rFonts w:hint="cs"/>
          <w:szCs w:val="16"/>
          <w:rtl/>
        </w:rPr>
        <w:t>________</w:t>
      </w:r>
    </w:p>
    <w:p w:rsidR="00916FF8" w:rsidRDefault="00591983" w:rsidP="00B009CC">
      <w:pPr>
        <w:pStyle w:val="Ruller38"/>
        <w:rPr>
          <w:rtl/>
        </w:rPr>
      </w:pPr>
      <w:r>
        <w:rPr>
          <w:sz w:val="16"/>
        </w:rPr>
        <w:t xml:space="preserve"> </w:t>
      </w:r>
      <w:r w:rsidR="00A12E0F">
        <w:rPr>
          <w:sz w:val="16"/>
        </w:rPr>
        <w:t xml:space="preserve">  </w:t>
      </w:r>
      <w:r w:rsidR="00F2721D">
        <w:rPr>
          <w:sz w:val="16"/>
        </w:rPr>
        <w:t xml:space="preserve">21029720_F01.docx   </w:t>
      </w:r>
      <w:r w:rsidR="00F2721D">
        <w:rPr>
          <w:sz w:val="16"/>
          <w:rtl/>
        </w:rPr>
        <w:t>עב</w:t>
      </w:r>
    </w:p>
    <w:p w:rsidR="003F1F97" w:rsidRDefault="00591983" w:rsidP="00843D1F">
      <w:pPr>
        <w:pStyle w:val="Ruller38"/>
        <w:rPr>
          <w:rtl/>
        </w:rPr>
      </w:pPr>
      <w:r>
        <w:rPr>
          <w:rtl/>
        </w:rPr>
        <w:t>מרכז מידע, טל'</w:t>
      </w:r>
      <w:r>
        <w:rPr>
          <w:rFonts w:hint="cs"/>
          <w:rtl/>
        </w:rPr>
        <w:t xml:space="preserve"> </w:t>
      </w:r>
      <w:r w:rsidR="00B63343">
        <w:rPr>
          <w:rFonts w:hint="cs"/>
          <w:rtl/>
        </w:rPr>
        <w:t>077</w:t>
      </w:r>
      <w:r>
        <w:rPr>
          <w:rFonts w:hint="cs"/>
          <w:rtl/>
        </w:rPr>
        <w:t>-</w:t>
      </w:r>
      <w:r w:rsidR="00B63343">
        <w:rPr>
          <w:rFonts w:hint="cs"/>
          <w:rtl/>
        </w:rPr>
        <w:t>270</w:t>
      </w:r>
      <w:r w:rsidR="00E21CA9">
        <w:rPr>
          <w:rFonts w:hint="cs"/>
          <w:rtl/>
        </w:rPr>
        <w:t>3</w:t>
      </w:r>
      <w:r w:rsidR="009B38DA">
        <w:rPr>
          <w:rFonts w:hint="cs"/>
          <w:rtl/>
        </w:rPr>
        <w:t>333</w:t>
      </w:r>
      <w:r w:rsidR="00866D0F">
        <w:rPr>
          <w:rFonts w:hint="cs"/>
          <w:rtl/>
        </w:rPr>
        <w:t>, 3852*</w:t>
      </w:r>
      <w:r>
        <w:rPr>
          <w:rFonts w:hint="cs"/>
          <w:rtl/>
        </w:rPr>
        <w:t xml:space="preserve"> ; אתר אינטרנט,  </w:t>
      </w:r>
      <w:hyperlink r:id="rId8" w:history="1">
        <w:r w:rsidR="00FC0252" w:rsidRPr="00BB4C68">
          <w:rPr>
            <w:rStyle w:val="Hyperlink"/>
            <w:sz w:val="16"/>
          </w:rPr>
          <w:t>https://supreme.court.gov.il</w:t>
        </w:r>
      </w:hyperlink>
    </w:p>
    <w:sectPr w:rsidR="003F1F97" w:rsidSect="005919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lowerLetter"/>
      </w:endnotePr>
      <w:pgSz w:w="11906" w:h="16838" w:code="9"/>
      <w:pgMar w:top="1134" w:right="1797" w:bottom="1440" w:left="1797" w:header="567" w:footer="397" w:gutter="0"/>
      <w:cols w:space="720"/>
      <w:titlePg/>
      <w:bidi/>
      <w:rtlGutter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3">
      <wne:acd wne:acdName="acd0"/>
    </wne:keymap>
    <wne:keymap wne:kcmPrimary="0434">
      <wne:acd wne:acdName="acd1"/>
    </wne:keymap>
    <wne:keymap wne:kcmPrimary="0435">
      <wne:acd wne:acdName="acd2"/>
    </wne:keymap>
  </wne:keymaps>
  <wne:toolbars>
    <wne:acdManifest>
      <wne:acdEntry wne:acdName="acd0"/>
      <wne:acdEntry wne:acdName="acd1"/>
      <wne:acdEntry wne:acdName="acd2"/>
    </wne:acdManifest>
    <wne:toolbarData r:id="rId1"/>
  </wne:toolbars>
  <wne:acds>
    <wne:acd wne:argValue="AgBSAHUAbABsAGUAcgAgADMA" wne:acdName="acd0" wne:fciIndexBasedOn="0065"/>
    <wne:acd wne:argValue="AgBSAHUAbABsAGUAcgA0AA==" wne:acdName="acd1" wne:fciIndexBasedOn="0065"/>
    <wne:acd wne:argValue="AgBSAHUAbABsAGUAcgA1AA==" wne:acdName="acd2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512" w:rsidRDefault="007F7512">
      <w:r>
        <w:separator/>
      </w:r>
    </w:p>
  </w:endnote>
  <w:endnote w:type="continuationSeparator" w:id="0">
    <w:p w:rsidR="007F7512" w:rsidRDefault="007F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Arial TUR">
    <w:charset w:val="00"/>
    <w:family w:val="swiss"/>
    <w:pitch w:val="variable"/>
    <w:sig w:usb0="E0002EFF" w:usb1="C000785B" w:usb2="00000009" w:usb3="00000000" w:csb0="000001FF" w:csb1="00000000"/>
  </w:font>
  <w:font w:name="DavidFix">
    <w:charset w:val="B1"/>
    <w:family w:val="auto"/>
    <w:pitch w:val="variable"/>
    <w:sig w:usb0="00001801" w:usb1="00000000" w:usb2="00000000" w:usb3="00000000" w:csb0="00000020" w:csb1="00000000"/>
  </w:font>
  <w:font w:name="Guttman Yad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102" w:rsidRDefault="00377102">
    <w:pPr>
      <w:pStyle w:val="a3"/>
      <w:framePr w:wrap="around" w:vAnchor="text" w:hAnchor="margin" w:xAlign="center" w:y="1"/>
      <w:rPr>
        <w:rStyle w:val="a4"/>
        <w:rtl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BC0E82">
      <w:rPr>
        <w:rStyle w:val="a4"/>
        <w:noProof/>
        <w:rtl/>
      </w:rPr>
      <w:t>1</w:t>
    </w:r>
    <w:r>
      <w:rPr>
        <w:rStyle w:val="a4"/>
        <w:rtl/>
      </w:rPr>
      <w:fldChar w:fldCharType="end"/>
    </w:r>
  </w:p>
  <w:p w:rsidR="00377102" w:rsidRDefault="00377102">
    <w:pPr>
      <w:pStyle w:val="a3"/>
      <w:rPr>
        <w:rtl/>
      </w:rPr>
    </w:pPr>
  </w:p>
  <w:p w:rsidR="00377102" w:rsidRDefault="003771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21D" w:rsidRDefault="00F2721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B4D" w:rsidRPr="00F959DB" w:rsidRDefault="00045B4D" w:rsidP="00914156">
    <w:pPr>
      <w:pStyle w:val="a3"/>
      <w:bidi w:val="0"/>
      <w:jc w:val="right"/>
      <w:rPr>
        <w:sz w:val="16"/>
        <w:szCs w:val="16"/>
      </w:rPr>
    </w:pPr>
    <w:bookmarkStart w:id="6" w:name="footer_line"/>
    <w:bookmarkEnd w:id="6"/>
  </w:p>
  <w:p w:rsidR="00045B4D" w:rsidRDefault="00045B4D">
    <w:pPr>
      <w:pStyle w:val="a3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512" w:rsidRDefault="007F7512">
      <w:r>
        <w:separator/>
      </w:r>
    </w:p>
  </w:footnote>
  <w:footnote w:type="continuationSeparator" w:id="0">
    <w:p w:rsidR="007F7512" w:rsidRDefault="007F7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102" w:rsidRDefault="00377102">
    <w:pPr>
      <w:pStyle w:val="a5"/>
      <w:framePr w:wrap="around" w:vAnchor="text" w:hAnchor="margin" w:xAlign="center" w:y="1"/>
      <w:rPr>
        <w:rStyle w:val="a4"/>
        <w:rtl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BC0E82">
      <w:rPr>
        <w:rStyle w:val="a4"/>
        <w:noProof/>
        <w:rtl/>
      </w:rPr>
      <w:t>1</w:t>
    </w:r>
    <w:r>
      <w:rPr>
        <w:rStyle w:val="a4"/>
        <w:rtl/>
      </w:rPr>
      <w:fldChar w:fldCharType="end"/>
    </w:r>
  </w:p>
  <w:p w:rsidR="00377102" w:rsidRDefault="00377102">
    <w:pPr>
      <w:pStyle w:val="a5"/>
      <w:rPr>
        <w:rtl/>
      </w:rPr>
    </w:pPr>
  </w:p>
  <w:p w:rsidR="00377102" w:rsidRDefault="003771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102" w:rsidRDefault="00377102">
    <w:pPr>
      <w:pStyle w:val="a5"/>
      <w:framePr w:wrap="around" w:vAnchor="text" w:hAnchor="margin" w:xAlign="center" w:y="1"/>
      <w:rPr>
        <w:rStyle w:val="a4"/>
        <w:rtl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712C8A">
      <w:rPr>
        <w:rStyle w:val="a4"/>
        <w:noProof/>
        <w:rtl/>
      </w:rPr>
      <w:t>2</w:t>
    </w:r>
    <w:r>
      <w:rPr>
        <w:rStyle w:val="a4"/>
        <w:rtl/>
      </w:rPr>
      <w:fldChar w:fldCharType="end"/>
    </w:r>
  </w:p>
  <w:p w:rsidR="00377102" w:rsidRDefault="00377102">
    <w:pPr>
      <w:pStyle w:val="a5"/>
      <w:rPr>
        <w:rtl/>
      </w:rPr>
    </w:pPr>
  </w:p>
  <w:p w:rsidR="00377102" w:rsidRDefault="0037710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8363" w:type="dxa"/>
      <w:tblLook w:val="0000" w:firstRow="0" w:lastRow="0" w:firstColumn="0" w:lastColumn="0" w:noHBand="0" w:noVBand="0"/>
    </w:tblPr>
    <w:tblGrid>
      <w:gridCol w:w="8363"/>
    </w:tblGrid>
    <w:tr w:rsidR="00045B4D" w:rsidTr="00EC23AC">
      <w:trPr>
        <w:trHeight w:val="342"/>
      </w:trPr>
      <w:tc>
        <w:tcPr>
          <w:tcW w:w="9828" w:type="dxa"/>
        </w:tcPr>
        <w:p w:rsidR="00377102" w:rsidRPr="002F7BB6" w:rsidRDefault="00EE3810" w:rsidP="00045B4D">
          <w:pPr>
            <w:pStyle w:val="Casenameintextbody"/>
            <w:jc w:val="center"/>
            <w:rPr>
              <w:u w:val="none"/>
              <w:rtl/>
            </w:rPr>
          </w:pPr>
          <w:r w:rsidRPr="002F7BB6">
            <w:rPr>
              <w:noProof/>
              <w:sz w:val="16"/>
              <w:szCs w:val="18"/>
              <w:u w:val="none"/>
              <w:rtl/>
            </w:rPr>
            <w:drawing>
              <wp:inline distT="0" distB="0" distL="0" distR="0">
                <wp:extent cx="464820" cy="449580"/>
                <wp:effectExtent l="0" t="0" r="0" b="7620"/>
                <wp:docPr id="1" name="תמונה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45B4D" w:rsidRDefault="00045B4D" w:rsidP="00045B4D">
    <w:pPr>
      <w:pStyle w:val="a5"/>
      <w:jc w:val="cent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7A4F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B8EE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485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300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0465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CCE6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026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1A09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046C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B800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27"/>
    <w:rsid w:val="00016EF1"/>
    <w:rsid w:val="00032036"/>
    <w:rsid w:val="00036227"/>
    <w:rsid w:val="00044953"/>
    <w:rsid w:val="00045B4D"/>
    <w:rsid w:val="000725F5"/>
    <w:rsid w:val="00072AD2"/>
    <w:rsid w:val="000B1478"/>
    <w:rsid w:val="000C4690"/>
    <w:rsid w:val="000D25C4"/>
    <w:rsid w:val="00134A67"/>
    <w:rsid w:val="00161E9B"/>
    <w:rsid w:val="001A0164"/>
    <w:rsid w:val="00200D6B"/>
    <w:rsid w:val="00265F6E"/>
    <w:rsid w:val="002876BF"/>
    <w:rsid w:val="002A4A7A"/>
    <w:rsid w:val="002A4BF3"/>
    <w:rsid w:val="002F7BB6"/>
    <w:rsid w:val="003448B2"/>
    <w:rsid w:val="00361DB2"/>
    <w:rsid w:val="0037622E"/>
    <w:rsid w:val="00377102"/>
    <w:rsid w:val="0039709B"/>
    <w:rsid w:val="003D72DA"/>
    <w:rsid w:val="003F1F97"/>
    <w:rsid w:val="0041048F"/>
    <w:rsid w:val="00437D59"/>
    <w:rsid w:val="004610A4"/>
    <w:rsid w:val="004B29FF"/>
    <w:rsid w:val="004C7868"/>
    <w:rsid w:val="00503A3E"/>
    <w:rsid w:val="00527F02"/>
    <w:rsid w:val="005803E2"/>
    <w:rsid w:val="0058440A"/>
    <w:rsid w:val="00591983"/>
    <w:rsid w:val="00624A42"/>
    <w:rsid w:val="0065522F"/>
    <w:rsid w:val="006A30F7"/>
    <w:rsid w:val="006C42AD"/>
    <w:rsid w:val="00712C8A"/>
    <w:rsid w:val="00725345"/>
    <w:rsid w:val="00741CC0"/>
    <w:rsid w:val="007B512F"/>
    <w:rsid w:val="007F7512"/>
    <w:rsid w:val="00810894"/>
    <w:rsid w:val="008143AB"/>
    <w:rsid w:val="0083345F"/>
    <w:rsid w:val="00836667"/>
    <w:rsid w:val="00843D1F"/>
    <w:rsid w:val="00866D0F"/>
    <w:rsid w:val="008C2F11"/>
    <w:rsid w:val="008D78B9"/>
    <w:rsid w:val="008E3F85"/>
    <w:rsid w:val="009051E8"/>
    <w:rsid w:val="00914156"/>
    <w:rsid w:val="00916FF8"/>
    <w:rsid w:val="00922093"/>
    <w:rsid w:val="00930C85"/>
    <w:rsid w:val="009B38DA"/>
    <w:rsid w:val="009F2F53"/>
    <w:rsid w:val="009F4187"/>
    <w:rsid w:val="00A12E0F"/>
    <w:rsid w:val="00A51FAE"/>
    <w:rsid w:val="00A80845"/>
    <w:rsid w:val="00AB69F7"/>
    <w:rsid w:val="00AD097B"/>
    <w:rsid w:val="00AD64B9"/>
    <w:rsid w:val="00AE022B"/>
    <w:rsid w:val="00B009CC"/>
    <w:rsid w:val="00B0782A"/>
    <w:rsid w:val="00B62B8C"/>
    <w:rsid w:val="00B63343"/>
    <w:rsid w:val="00B87FF7"/>
    <w:rsid w:val="00BA0B08"/>
    <w:rsid w:val="00BC0E82"/>
    <w:rsid w:val="00BD40F9"/>
    <w:rsid w:val="00C41C86"/>
    <w:rsid w:val="00C63A6C"/>
    <w:rsid w:val="00CA13AF"/>
    <w:rsid w:val="00CA1444"/>
    <w:rsid w:val="00CB1590"/>
    <w:rsid w:val="00CB7600"/>
    <w:rsid w:val="00CC0E9D"/>
    <w:rsid w:val="00CC3639"/>
    <w:rsid w:val="00D00B1D"/>
    <w:rsid w:val="00D00CB7"/>
    <w:rsid w:val="00D25F16"/>
    <w:rsid w:val="00E21CA9"/>
    <w:rsid w:val="00E31063"/>
    <w:rsid w:val="00E36FE9"/>
    <w:rsid w:val="00E73E98"/>
    <w:rsid w:val="00E75223"/>
    <w:rsid w:val="00E90D72"/>
    <w:rsid w:val="00EA0BE1"/>
    <w:rsid w:val="00EC23AC"/>
    <w:rsid w:val="00EC2992"/>
    <w:rsid w:val="00ED46A4"/>
    <w:rsid w:val="00ED6FD9"/>
    <w:rsid w:val="00EE3810"/>
    <w:rsid w:val="00F2721D"/>
    <w:rsid w:val="00F63C3B"/>
    <w:rsid w:val="00F959DB"/>
    <w:rsid w:val="00FC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15DA50-E8CD-4DE1-A936-C1204642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bidi/>
      <w:adjustRightInd w:val="0"/>
      <w:textAlignment w:val="baseline"/>
    </w:pPr>
    <w:rPr>
      <w:rFonts w:cs="David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uller3">
    <w:name w:val="Ruller 3"/>
    <w:basedOn w:val="a"/>
    <w:rsid w:val="00A51FAE"/>
    <w:pPr>
      <w:tabs>
        <w:tab w:val="left" w:pos="3210"/>
        <w:tab w:val="left" w:pos="6753"/>
      </w:tabs>
      <w:spacing w:line="360" w:lineRule="auto"/>
    </w:pPr>
    <w:rPr>
      <w:rFonts w:cs="FrankRuehl"/>
      <w:spacing w:val="10"/>
      <w:sz w:val="22"/>
      <w:szCs w:val="28"/>
    </w:rPr>
  </w:style>
  <w:style w:type="paragraph" w:customStyle="1" w:styleId="Pskdinhead">
    <w:name w:val="Pskdin head"/>
    <w:basedOn w:val="a"/>
    <w:pPr>
      <w:spacing w:line="360" w:lineRule="auto"/>
    </w:pPr>
    <w:rPr>
      <w:b/>
      <w:bCs/>
      <w:u w:val="single"/>
    </w:rPr>
  </w:style>
  <w:style w:type="paragraph" w:customStyle="1" w:styleId="FileNumber">
    <w:name w:val="File Number"/>
    <w:basedOn w:val="a"/>
    <w:pPr>
      <w:spacing w:line="360" w:lineRule="auto"/>
      <w:jc w:val="right"/>
    </w:pPr>
    <w:rPr>
      <w:bCs/>
    </w:rPr>
  </w:style>
  <w:style w:type="paragraph" w:customStyle="1" w:styleId="FirstpagestylePsakdin">
    <w:name w:val="First page style Psak din"/>
    <w:basedOn w:val="Ruller3"/>
    <w:pPr>
      <w:tabs>
        <w:tab w:val="clear" w:pos="3210"/>
        <w:tab w:val="left" w:pos="3209"/>
      </w:tabs>
    </w:pPr>
    <w:rPr>
      <w:bCs/>
    </w:rPr>
  </w:style>
  <w:style w:type="paragraph" w:customStyle="1" w:styleId="TyutaDate">
    <w:name w:val="Tyuta Date"/>
    <w:basedOn w:val="a"/>
    <w:pPr>
      <w:jc w:val="center"/>
    </w:pPr>
    <w:rPr>
      <w:b/>
      <w:bCs/>
      <w:i/>
      <w:iCs/>
      <w:sz w:val="28"/>
      <w:szCs w:val="28"/>
    </w:rPr>
  </w:style>
  <w:style w:type="paragraph" w:customStyle="1" w:styleId="DocumentHead">
    <w:name w:val="Document Head"/>
    <w:basedOn w:val="a"/>
    <w:pPr>
      <w:spacing w:line="360" w:lineRule="auto"/>
      <w:jc w:val="center"/>
    </w:pPr>
    <w:rPr>
      <w:bCs/>
      <w:spacing w:val="30"/>
      <w:szCs w:val="28"/>
      <w:u w:val="single"/>
    </w:rPr>
  </w:style>
  <w:style w:type="paragraph" w:customStyle="1" w:styleId="TfutzaList">
    <w:name w:val="Tfutza List"/>
    <w:basedOn w:val="a"/>
    <w:rPr>
      <w:i/>
      <w:iCs/>
    </w:rPr>
  </w:style>
  <w:style w:type="paragraph" w:customStyle="1" w:styleId="Ruller4">
    <w:name w:val="Ruller4"/>
    <w:basedOn w:val="a"/>
    <w:rsid w:val="00A51FAE"/>
    <w:pPr>
      <w:tabs>
        <w:tab w:val="left" w:pos="800"/>
      </w:tabs>
      <w:spacing w:line="360" w:lineRule="auto"/>
      <w:jc w:val="both"/>
    </w:pPr>
    <w:rPr>
      <w:rFonts w:ascii="Arial TUR" w:hAnsi="Arial TUR" w:cs="FrankRuehl"/>
      <w:spacing w:val="10"/>
      <w:sz w:val="22"/>
      <w:szCs w:val="28"/>
    </w:rPr>
  </w:style>
  <w:style w:type="paragraph" w:customStyle="1" w:styleId="Ruller5">
    <w:name w:val="Ruller5"/>
    <w:basedOn w:val="a"/>
    <w:rsid w:val="00A51FAE"/>
    <w:pPr>
      <w:ind w:left="1642" w:right="1282"/>
      <w:jc w:val="both"/>
    </w:pPr>
    <w:rPr>
      <w:rFonts w:ascii="Arial TUR" w:hAnsi="Arial TUR" w:cs="FrankRuehl"/>
      <w:spacing w:val="10"/>
      <w:sz w:val="22"/>
      <w:szCs w:val="28"/>
    </w:rPr>
  </w:style>
  <w:style w:type="paragraph" w:customStyle="1" w:styleId="Ruller6">
    <w:name w:val="Ruller6"/>
    <w:basedOn w:val="a"/>
    <w:rsid w:val="00A51FAE"/>
    <w:pPr>
      <w:tabs>
        <w:tab w:val="left" w:pos="794"/>
        <w:tab w:val="left" w:pos="2268"/>
        <w:tab w:val="left" w:pos="5783"/>
        <w:tab w:val="left" w:pos="7371"/>
      </w:tabs>
    </w:pPr>
    <w:rPr>
      <w:rFonts w:ascii="Arial TUR" w:hAnsi="Arial TUR" w:cs="DavidFix"/>
      <w:spacing w:val="10"/>
      <w:sz w:val="22"/>
      <w:szCs w:val="20"/>
    </w:rPr>
  </w:style>
  <w:style w:type="character" w:customStyle="1" w:styleId="Delete">
    <w:name w:val="Delete"/>
    <w:rPr>
      <w:strike/>
    </w:rPr>
  </w:style>
  <w:style w:type="paragraph" w:customStyle="1" w:styleId="WriterName">
    <w:name w:val="Writer Name"/>
    <w:basedOn w:val="Ruller4"/>
    <w:next w:val="Ruller4"/>
    <w:rPr>
      <w:rFonts w:cs="David"/>
      <w:b/>
      <w:bCs/>
      <w:u w:val="single"/>
    </w:rPr>
  </w:style>
  <w:style w:type="character" w:customStyle="1" w:styleId="Hand">
    <w:name w:val="Hand"/>
    <w:rPr>
      <w:rFonts w:cs="Guttman Yad"/>
    </w:rPr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customStyle="1" w:styleId="2">
    <w:name w:val="ñâðåï2"/>
    <w:basedOn w:val="a"/>
    <w:pPr>
      <w:overflowPunct/>
      <w:textAlignment w:val="auto"/>
    </w:pPr>
    <w:rPr>
      <w:rFonts w:cs="Times New Roman"/>
    </w:rPr>
  </w:style>
  <w:style w:type="paragraph" w:customStyle="1" w:styleId="Casenameintextbody">
    <w:name w:val="Case name in text body"/>
    <w:basedOn w:val="a"/>
    <w:pPr>
      <w:overflowPunct/>
      <w:jc w:val="right"/>
      <w:textAlignment w:val="auto"/>
    </w:pPr>
    <w:rPr>
      <w:rFonts w:cs="Times New Roman"/>
      <w:b/>
      <w:bCs/>
      <w:u w:val="single"/>
    </w:rPr>
  </w:style>
  <w:style w:type="paragraph" w:customStyle="1" w:styleId="precasestyle">
    <w:name w:val="pre_case style"/>
    <w:basedOn w:val="a"/>
    <w:pPr>
      <w:tabs>
        <w:tab w:val="left" w:pos="2552"/>
      </w:tabs>
      <w:overflowPunct/>
      <w:ind w:right="2549"/>
      <w:textAlignment w:val="auto"/>
    </w:pPr>
    <w:rPr>
      <w:rFonts w:cs="Times New Roman"/>
    </w:rPr>
  </w:style>
  <w:style w:type="paragraph" w:customStyle="1" w:styleId="BodyRuller">
    <w:name w:val="Body Ruller"/>
    <w:basedOn w:val="a"/>
    <w:rPr>
      <w:sz w:val="22"/>
      <w:szCs w:val="28"/>
    </w:rPr>
  </w:style>
  <w:style w:type="paragraph" w:customStyle="1" w:styleId="Ruller38">
    <w:name w:val="סגנון Ruller 3 + (מורכב) ‏8 נק"/>
    <w:basedOn w:val="BodyRuller"/>
    <w:rPr>
      <w:szCs w:val="16"/>
    </w:rPr>
  </w:style>
  <w:style w:type="character" w:customStyle="1" w:styleId="Ruller30">
    <w:name w:val="Ruller 3 תו"/>
    <w:rPr>
      <w:rFonts w:cs="FrankRuehl"/>
      <w:sz w:val="22"/>
      <w:szCs w:val="28"/>
      <w:lang w:val="en-US" w:eastAsia="en-US" w:bidi="he-IL"/>
    </w:rPr>
  </w:style>
  <w:style w:type="character" w:customStyle="1" w:styleId="BodyRuller0">
    <w:name w:val="Body Ruller תו"/>
    <w:rPr>
      <w:rFonts w:cs="David"/>
      <w:sz w:val="22"/>
      <w:szCs w:val="28"/>
      <w:lang w:val="en-US" w:eastAsia="en-US" w:bidi="he-IL"/>
    </w:rPr>
  </w:style>
  <w:style w:type="character" w:customStyle="1" w:styleId="Ruller380">
    <w:name w:val="סגנון Ruller 3 + (מורכב) ‏8 נק תו"/>
    <w:rPr>
      <w:rFonts w:cs="David"/>
      <w:sz w:val="22"/>
      <w:szCs w:val="16"/>
      <w:lang w:val="en-US" w:eastAsia="en-US" w:bidi="he-IL"/>
    </w:rPr>
  </w:style>
  <w:style w:type="paragraph" w:customStyle="1" w:styleId="FileNumber0">
    <w:name w:val="סגנון File Number + ימין"/>
    <w:basedOn w:val="FileNumber"/>
    <w:rsid w:val="004C7868"/>
    <w:pPr>
      <w:jc w:val="left"/>
    </w:pPr>
    <w:rPr>
      <w:szCs w:val="28"/>
    </w:rPr>
  </w:style>
  <w:style w:type="paragraph" w:customStyle="1" w:styleId="BODYVERDICT">
    <w:name w:val="BODY VERDICT"/>
    <w:basedOn w:val="a"/>
    <w:rsid w:val="00036227"/>
    <w:rPr>
      <w:rFonts w:cs="FrankRuehl"/>
      <w:spacing w:val="10"/>
      <w:sz w:val="22"/>
      <w:szCs w:val="28"/>
    </w:rPr>
  </w:style>
  <w:style w:type="character" w:styleId="Hyperlink">
    <w:name w:val="Hyperlink"/>
    <w:rsid w:val="003F1F97"/>
    <w:rPr>
      <w:color w:val="0000FF"/>
      <w:u w:val="single"/>
    </w:rPr>
  </w:style>
  <w:style w:type="table" w:styleId="a6">
    <w:name w:val="Table Grid"/>
    <w:basedOn w:val="a1"/>
    <w:rsid w:val="003F1F97"/>
    <w:pPr>
      <w:overflowPunct w:val="0"/>
      <w:autoSpaceDE w:val="0"/>
      <w:autoSpaceDN w:val="0"/>
      <w:bidi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a0"/>
    <w:rsid w:val="0058440A"/>
    <w:rPr>
      <w:color w:val="954F72" w:themeColor="followedHyperlink"/>
      <w:u w:val="single"/>
    </w:rPr>
  </w:style>
  <w:style w:type="character" w:styleId="a7">
    <w:name w:val="annotation reference"/>
    <w:basedOn w:val="a0"/>
    <w:rsid w:val="00D00B1D"/>
    <w:rPr>
      <w:sz w:val="16"/>
      <w:szCs w:val="16"/>
    </w:rPr>
  </w:style>
  <w:style w:type="paragraph" w:styleId="a8">
    <w:name w:val="annotation text"/>
    <w:basedOn w:val="a"/>
    <w:link w:val="a9"/>
    <w:rsid w:val="00D00B1D"/>
    <w:rPr>
      <w:szCs w:val="20"/>
    </w:rPr>
  </w:style>
  <w:style w:type="character" w:customStyle="1" w:styleId="a9">
    <w:name w:val="טקסט הערה תו"/>
    <w:basedOn w:val="a0"/>
    <w:link w:val="a8"/>
    <w:rsid w:val="00D00B1D"/>
    <w:rPr>
      <w:rFonts w:cs="David"/>
    </w:rPr>
  </w:style>
  <w:style w:type="paragraph" w:styleId="aa">
    <w:name w:val="annotation subject"/>
    <w:basedOn w:val="a8"/>
    <w:next w:val="a8"/>
    <w:link w:val="ab"/>
    <w:rsid w:val="00D00B1D"/>
    <w:rPr>
      <w:b/>
      <w:bCs/>
    </w:rPr>
  </w:style>
  <w:style w:type="character" w:customStyle="1" w:styleId="ab">
    <w:name w:val="נושא הערה תו"/>
    <w:basedOn w:val="a9"/>
    <w:link w:val="aa"/>
    <w:rsid w:val="00D00B1D"/>
    <w:rPr>
      <w:rFonts w:cs="David"/>
      <w:b/>
      <w:bCs/>
    </w:rPr>
  </w:style>
  <w:style w:type="paragraph" w:styleId="ac">
    <w:name w:val="Balloon Text"/>
    <w:basedOn w:val="a"/>
    <w:link w:val="ad"/>
    <w:rsid w:val="00D00B1D"/>
    <w:rPr>
      <w:rFonts w:ascii="Tahoma" w:hAnsi="Tahoma" w:cs="Tahoma"/>
      <w:sz w:val="18"/>
      <w:szCs w:val="18"/>
    </w:rPr>
  </w:style>
  <w:style w:type="character" w:customStyle="1" w:styleId="ad">
    <w:name w:val="טקסט בלונים תו"/>
    <w:basedOn w:val="a0"/>
    <w:link w:val="ac"/>
    <w:rsid w:val="00D00B1D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reme.court.gov.i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891</Characters>
  <Application>Microsoft Office Word</Application>
  <DocSecurity>0</DocSecurity>
  <Lines>56</Lines>
  <Paragraphs>24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Links>
    <vt:vector size="6" baseType="variant">
      <vt:variant>
        <vt:i4>1966158</vt:i4>
      </vt:variant>
      <vt:variant>
        <vt:i4>12</vt:i4>
      </vt:variant>
      <vt:variant>
        <vt:i4>0</vt:i4>
      </vt:variant>
      <vt:variant>
        <vt:i4>5</vt:i4>
      </vt:variant>
      <vt:variant>
        <vt:lpwstr>http://www.court.gov.il/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2021-05-02T07:21:59Z</cp:lastPrinted>
  <dcterms:created xsi:type="dcterms:W3CDTF">2021-05-02T07:21:59Z</dcterms:created>
  <dcterms:modified xsi:type="dcterms:W3CDTF">2021-05-02T07:21:59Z</dcterms:modified>
</cp:coreProperties>
</file>